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0" w:after="240" w:line="276" w:lineRule="auto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 xml:space="preserve">Synthetic Footnote Layout Fixture</w:t>
      </w:r>
    </w:p>
    <w:p>
      <w:pPr>
        <w:spacing w:before="0" w:after="12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This generated memorandum uses neutral sample facts to exercise footnote layout near the page bottom.</w:t>
      </w:r>
    </w:p>
    <w:p>
      <w:pPr>
        <w:spacing w:before="0" w:after="12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Each paragraph is intentionally compact so the reference cluster can land close to the available text boundary.</w:t>
      </w:r>
    </w:p>
    <w:p>
      <w:pPr>
        <w:spacing w:before="0" w:after="12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The editor must reserve enough space for the note area, then paint that note area at the same measured height.</w:t>
      </w:r>
    </w:p>
    <w:p>
      <w:pPr>
        <w:spacing w:before="0" w:after="12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 second pagination pass can move references to another page, so the final reservation must follow the final mapping.</w:t>
      </w:r>
    </w:p>
    <w:p>
      <w:pPr>
        <w:spacing w:before="0" w:after="12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The sample content repeats similar lengths to create predictable page pressure without relying on private documents.</w:t>
      </w:r>
    </w:p>
    <w:p>
      <w:pPr>
        <w:spacing w:before="0" w:after="12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Reviewers can load this fixture directly and compare the bottom notes against a normal word processor.</w:t>
      </w:r>
    </w:p>
    <w:p>
      <w:pPr>
        <w:spacing w:before="0" w:after="12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No names, matters, agencies, places, or source documents from a user file are included in this fixture.</w:t>
      </w:r>
    </w:p>
    <w:p>
      <w:pPr>
        <w:spacing w:before="0" w:after="12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The next paragraph starts a dense run of synthetic citations with long but harmless file-like labels.</w:t>
      </w:r>
    </w:p>
    <w:p>
      <w:pPr>
        <w:spacing w:before="0" w:after="120" w:line="276" w:lineRule="auto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 xml:space="preserve">Initial sample references: </w:t>
      </w:r>
      <w:r>
        <w:rPr>
          <w:rStyle w:val="FootnoteReference"/>
        </w:rPr>
        <w:footnoteReference w:id="1"/>
      </w:r>
      <w:r>
        <w:t xml:space="preserve"> </w:t>
      </w:r>
      <w:r>
        <w:rPr>
          <w:rStyle w:val="FootnoteReference"/>
        </w:rPr>
        <w:footnoteReference w:id="2"/>
      </w:r>
      <w:r>
        <w:t xml:space="preserve"> </w:t>
      </w:r>
      <w:r>
        <w:rPr>
          <w:rStyle w:val="FootnoteReference"/>
        </w:rPr>
        <w:footnoteReference w:id="3"/>
      </w:r>
      <w:r>
        <w:t xml:space="preserve"> </w:t>
      </w:r>
      <w:r>
        <w:rPr>
          <w:rStyle w:val="FootnoteReference"/>
        </w:rPr>
        <w:footnoteReference w:id="4"/>
      </w:r>
      <w:r>
        <w:t xml:space="preserve"> </w:t>
      </w:r>
      <w:r>
        <w:rPr>
          <w:rStyle w:val="FootnoteReference"/>
        </w:rPr>
        <w:footnoteReference w:id="5"/>
      </w:r>
      <w:r>
        <w:t xml:space="preserve"> </w:t>
      </w:r>
      <w:r>
        <w:rPr>
          <w:rStyle w:val="FootnoteReference"/>
        </w:rPr>
        <w:footnoteReference w:id="6"/>
      </w:r>
      <w:r>
        <w:t xml:space="preserve"> </w:t>
      </w:r>
      <w:r>
        <w:rPr>
          <w:rStyle w:val="FootnoteReference"/>
        </w:rPr>
        <w:footnoteReference w:id="7"/>
      </w:r>
      <w:r>
        <w:t xml:space="preserve"> </w:t>
      </w:r>
      <w:r>
        <w:rPr>
          <w:rStyle w:val="FootnoteReference"/>
        </w:rPr>
        <w:footnoteReference w:id="8"/>
      </w:r>
      <w:r>
        <w:t xml:space="preserve"> </w:t>
      </w:r>
    </w:p>
    <w:p>
      <w:pPr>
        <w:spacing w:before="0" w:after="12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 short follow-up paragraph keeps the later reference cluster close to the page boundary so remapping can be observed.</w:t>
      </w:r>
    </w:p>
    <w:p>
      <w:pPr>
        <w:spacing w:before="0" w:after="120" w:line="276" w:lineRule="auto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 xml:space="preserve">Bottom sample references: </w:t>
      </w:r>
      <w:r>
        <w:rPr>
          <w:rStyle w:val="FootnoteReference"/>
        </w:rPr>
        <w:footnoteReference w:id="9"/>
      </w:r>
      <w:r>
        <w:t xml:space="preserve"> </w:t>
      </w:r>
      <w:r>
        <w:rPr>
          <w:rStyle w:val="FootnoteReference"/>
        </w:rPr>
        <w:footnoteReference w:id="10"/>
      </w:r>
      <w:r>
        <w:t xml:space="preserve"> </w:t>
      </w:r>
      <w:r>
        <w:rPr>
          <w:rStyle w:val="FootnoteReference"/>
        </w:rPr>
        <w:footnoteReference w:id="11"/>
      </w:r>
      <w:r>
        <w:t xml:space="preserve"> </w:t>
      </w:r>
      <w:r>
        <w:rPr>
          <w:rStyle w:val="FootnoteReference"/>
        </w:rPr>
        <w:footnoteReference w:id="12"/>
      </w:r>
      <w:r>
        <w:t xml:space="preserve"> </w:t>
      </w:r>
      <w:r>
        <w:rPr>
          <w:rStyle w:val="FootnoteReference"/>
        </w:rPr>
        <w:footnoteReference w:id="13"/>
      </w:r>
      <w:r>
        <w:t xml:space="preserve"> </w:t>
      </w:r>
      <w:r>
        <w:rPr>
          <w:rStyle w:val="FootnoteReference"/>
        </w:rPr>
        <w:footnoteReference w:id="14"/>
      </w:r>
      <w:r>
        <w:t xml:space="preserve"> </w:t>
      </w:r>
      <w:r>
        <w:rPr>
          <w:rStyle w:val="FootnoteReference"/>
        </w:rPr>
        <w:footnoteReference w:id="15"/>
      </w:r>
      <w:r>
        <w:t xml:space="preserve"> </w:t>
      </w:r>
      <w:r>
        <w:rPr>
          <w:rStyle w:val="FootnoteReference"/>
        </w:rPr>
        <w:footnoteReference w:id="16"/>
      </w:r>
      <w:r>
        <w:t xml:space="preserve"> </w:t>
      </w:r>
      <w:r>
        <w:rPr>
          <w:rStyle w:val="FootnoteReference"/>
        </w:rPr>
        <w:footnoteReference w:id="17"/>
      </w:r>
      <w:r>
        <w:t xml:space="preserve"> </w:t>
      </w:r>
      <w:r>
        <w:rPr>
          <w:rStyle w:val="FootnoteReference"/>
        </w:rPr>
        <w:footnoteReference w:id="18"/>
      </w:r>
      <w:r>
        <w:t xml:space="preserve"> </w:t>
      </w:r>
      <w:r>
        <w:rPr>
          <w:rStyle w:val="FootnoteReference"/>
        </w:rPr>
        <w:footnoteReference w:id="19"/>
      </w:r>
      <w:r>
        <w:t xml:space="preserve"> </w:t>
      </w:r>
    </w:p>
    <w:p>
      <w:pPr>
        <w:spacing w:before="120" w:after="12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Closing generated note. The visible footnotes should remain entirely inside the page and above the bottom edge.</w:t>
      </w:r>
    </w:p>
    <w:sectPr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sample-alpha-source-01.csv #abc001 (generated pages: 1, 2) with additional neutral words that wrap in the footnote area and make the reservation height observable.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sample-alpha-source-02.csv #abc002 (generated pages: 2, 3) with additional neutral words that wrap in the footnote area and make the reservation height observable.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sample-alpha-source-03.csv #abc003 (generated pages: 3, 4) with additional neutral words that wrap in the footnote area and make the reservation height observable.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sample-alpha-source-04.csv #abc004 (generated pages: 4, 5) with additional neutral words that wrap in the footnote area and make the reservation height observable.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sample-alpha-source-05.csv #abc005 (generated pages: 5, 6) with additional neutral words that wrap in the footnote area and make the reservation height observable.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sample-alpha-source-06.csv #abc006 (generated pages: 6, 7) with additional neutral words that wrap in the footnote area and make the reservation height observable.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 xml:space="preserve"> sample-alpha-source-07.csv #abc007 (generated pages: 7, 8) with additional neutral words that wrap in the footnote area and make the reservation height observable.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 xml:space="preserve"> sample-alpha-source-08.csv #abc008 (generated pages: 8, 9) with additional neutral words that wrap in the footnote area and make the reservation height observable.</w:t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 xml:space="preserve"> sample-alpha-source-09.csv #abc009 (generated pages: 9, 10) with additional neutral words that wrap in the footnote area and make the reservation height observable.</w:t>
      </w:r>
    </w:p>
  </w:footnote>
  <w:footnote w:id="10">
    <w:p>
      <w:pPr>
        <w:pStyle w:val="FootnoteText"/>
      </w:pPr>
      <w:r>
        <w:rPr>
          <w:rStyle w:val="FootnoteReference"/>
        </w:rPr>
        <w:footnoteRef/>
      </w:r>
      <w:r>
        <w:t xml:space="preserve"> sample-bravo-source-10.csv #abc00a (generated pages: 10, 11) with additional neutral words that wrap in the footnote area and make the reservation height observable.</w:t>
      </w:r>
    </w:p>
  </w:footnote>
  <w:footnote w:id="11">
    <w:p>
      <w:pPr>
        <w:pStyle w:val="FootnoteText"/>
      </w:pPr>
      <w:r>
        <w:rPr>
          <w:rStyle w:val="FootnoteReference"/>
        </w:rPr>
        <w:footnoteRef/>
      </w:r>
      <w:r>
        <w:t xml:space="preserve"> sample-bravo-source-11.csv #abc00b (generated pages: 11, 12) with additional neutral words that wrap in the footnote area and make the reservation height observable.</w:t>
      </w:r>
    </w:p>
  </w:footnote>
  <w:footnote w:id="12">
    <w:p>
      <w:pPr>
        <w:pStyle w:val="FootnoteText"/>
      </w:pPr>
      <w:r>
        <w:rPr>
          <w:rStyle w:val="FootnoteReference"/>
        </w:rPr>
        <w:footnoteRef/>
      </w:r>
      <w:r>
        <w:t xml:space="preserve"> sample-bravo-source-12.csv #abc00c (generated pages: 12, 13) with additional neutral words that wrap in the footnote area and make the reservation height observable.</w:t>
      </w:r>
    </w:p>
  </w:footnote>
  <w:footnote w:id="13">
    <w:p>
      <w:pPr>
        <w:pStyle w:val="FootnoteText"/>
      </w:pPr>
      <w:r>
        <w:rPr>
          <w:rStyle w:val="FootnoteReference"/>
        </w:rPr>
        <w:footnoteRef/>
      </w:r>
      <w:r>
        <w:t xml:space="preserve"> sample-bravo-source-13.csv #abc00d (generated pages: 13, 14) with additional neutral words that wrap in the footnote area and make the reservation height observable.</w:t>
      </w:r>
    </w:p>
  </w:footnote>
  <w:footnote w:id="14">
    <w:p>
      <w:pPr>
        <w:pStyle w:val="FootnoteText"/>
      </w:pPr>
      <w:r>
        <w:rPr>
          <w:rStyle w:val="FootnoteReference"/>
        </w:rPr>
        <w:footnoteRef/>
      </w:r>
      <w:r>
        <w:t xml:space="preserve"> sample-bravo-source-14.csv #abc00e (generated pages: 14, 15) with additional neutral words that wrap in the footnote area and make the reservation height observable.</w:t>
      </w:r>
    </w:p>
  </w:footnote>
  <w:footnote w:id="15">
    <w:p>
      <w:pPr>
        <w:pStyle w:val="FootnoteText"/>
      </w:pPr>
      <w:r>
        <w:rPr>
          <w:rStyle w:val="FootnoteReference"/>
        </w:rPr>
        <w:footnoteRef/>
      </w:r>
      <w:r>
        <w:t xml:space="preserve"> sample-charlie-source-15.csv #abc00f (generated pages: 15, 16) with additional neutral words that wrap in the footnote area and make the reservation height observable.</w:t>
      </w:r>
    </w:p>
  </w:footnote>
  <w:footnote w:id="16">
    <w:p>
      <w:pPr>
        <w:pStyle w:val="FootnoteText"/>
      </w:pPr>
      <w:r>
        <w:rPr>
          <w:rStyle w:val="FootnoteReference"/>
        </w:rPr>
        <w:footnoteRef/>
      </w:r>
      <w:r>
        <w:t xml:space="preserve"> sample-charlie-source-16.csv #abc010 (generated pages: 16, 17) with additional neutral words that wrap in the footnote area and make the reservation height observable.</w:t>
      </w:r>
    </w:p>
  </w:footnote>
  <w:footnote w:id="17">
    <w:p>
      <w:pPr>
        <w:pStyle w:val="FootnoteText"/>
      </w:pPr>
      <w:r>
        <w:rPr>
          <w:rStyle w:val="FootnoteReference"/>
        </w:rPr>
        <w:footnoteRef/>
      </w:r>
      <w:r>
        <w:t xml:space="preserve"> sample-charlie-source-17.csv #abc011 (generated pages: 17, 18) with additional neutral words that wrap in the footnote area and make the reservation height observable.</w:t>
      </w:r>
    </w:p>
  </w:footnote>
  <w:footnote w:id="18">
    <w:p>
      <w:pPr>
        <w:pStyle w:val="FootnoteText"/>
      </w:pPr>
      <w:r>
        <w:rPr>
          <w:rStyle w:val="FootnoteReference"/>
        </w:rPr>
        <w:footnoteRef/>
      </w:r>
      <w:r>
        <w:t xml:space="preserve"> sample-charlie-source-18.csv #abc012 (generated pages: 18, 19) with additional neutral words that wrap in the footnote area and make the reservation height observable.</w:t>
      </w:r>
    </w:p>
  </w:footnote>
  <w:footnote w:id="19">
    <w:p>
      <w:pPr>
        <w:pStyle w:val="FootnoteText"/>
      </w:pPr>
      <w:r>
        <w:rPr>
          <w:rStyle w:val="FootnoteReference"/>
        </w:rPr>
        <w:footnoteRef/>
      </w:r>
      <w:r>
        <w:t xml:space="preserve"> sample-charlie-source-19.csv #abc013 (generated pages: 19, 20) with additional neutral words that wrap in the footnote area and make the reservation height observable.</w:t>
      </w:r>
    </w:p>
  </w:footnote>
</w:footnote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before="0" w:after="120" w:line="276" w:lineRule="auto"/>
    </w:pPr>
    <w:rPr>
      <w:rFonts w:ascii="Calibri" w:hAnsi="Calibri"/>
      <w:sz w:val="22"/>
    </w:rPr>
  </w:style>
  <w:style w:type="paragraph" w:styleId="FootnoteText">
    <w:name w:val="footnote text"/>
    <w:basedOn w:val="Normal"/>
    <w:pPr>
      <w:spacing w:before="0" w:after="0" w:line="240" w:lineRule="auto"/>
    </w:pPr>
    <w:rPr>
      <w:rFonts w:ascii="Calibri" w:hAnsi="Calibri"/>
      <w:sz w:val="16"/>
    </w:rPr>
  </w:style>
  <w:style w:type="character" w:styleId="FootnoteReference">
    <w:name w:val="footnote reference"/>
    <w:rPr>
      <w:vertAlign w:val="superscript"/>
      <w:sz w:val="16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otnotes" Target="footnote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docx-editor fixture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Footnote Bottom Overflow Synthetic Fixture</dc:title>
  <dc:creator>docx-editor fixture generator</dc:creator>
  <cp:lastModifiedBy>docx-editor fixture generator</cp:lastModifiedBy>
  <dcterms:created xsi:type="dcterms:W3CDTF">2026-01-01T00:00:00Z</dcterms:created>
  <dcterms:modified xsi:type="dcterms:W3CDTF">2026-01-01T00:00:00Z</dcterms:modified>
</cp:coreProperties>
</file>